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FF4C7" w14:textId="2ED287CF" w:rsidR="00A2421A" w:rsidRDefault="031EBE49" w:rsidP="037C4A1F">
      <w:pPr>
        <w:spacing w:before="240" w:after="240"/>
        <w:jc w:val="right"/>
        <w:rPr>
          <w:rFonts w:ascii="Aptos" w:eastAsia="Aptos" w:hAnsi="Aptos" w:cs="Aptos"/>
        </w:rPr>
      </w:pPr>
      <w:r>
        <w:rPr>
          <w:noProof/>
        </w:rPr>
        <w:drawing>
          <wp:anchor distT="0" distB="0" distL="114300" distR="114300" simplePos="0" relativeHeight="251658240" behindDoc="0" locked="0" layoutInCell="1" allowOverlap="1" wp14:anchorId="2D0BDBB6" wp14:editId="0945AD37">
            <wp:simplePos x="0" y="0"/>
            <wp:positionH relativeFrom="column">
              <wp:posOffset>-3810</wp:posOffset>
            </wp:positionH>
            <wp:positionV relativeFrom="paragraph">
              <wp:posOffset>-307975</wp:posOffset>
            </wp:positionV>
            <wp:extent cx="1583185" cy="815340"/>
            <wp:effectExtent l="0" t="0" r="0" b="0"/>
            <wp:wrapNone/>
            <wp:docPr id="2118115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1510" name="Picture 211811510"/>
                    <pic:cNvPicPr/>
                  </pic:nvPicPr>
                  <pic:blipFill>
                    <a:blip r:embed="rId9">
                      <a:extLst>
                        <a:ext uri="{28A0092B-C50C-407E-A947-70E740481C1C}">
                          <a14:useLocalDpi xmlns:a14="http://schemas.microsoft.com/office/drawing/2010/main"/>
                        </a:ext>
                      </a:extLst>
                    </a:blip>
                    <a:stretch>
                      <a:fillRect/>
                    </a:stretch>
                  </pic:blipFill>
                  <pic:spPr>
                    <a:xfrm>
                      <a:off x="0" y="0"/>
                      <a:ext cx="1583185" cy="815340"/>
                    </a:xfrm>
                    <a:prstGeom prst="rect">
                      <a:avLst/>
                    </a:prstGeom>
                  </pic:spPr>
                </pic:pic>
              </a:graphicData>
            </a:graphic>
            <wp14:sizeRelH relativeFrom="page">
              <wp14:pctWidth>0</wp14:pctWidth>
            </wp14:sizeRelH>
            <wp14:sizeRelV relativeFrom="page">
              <wp14:pctHeight>0</wp14:pctHeight>
            </wp14:sizeRelV>
          </wp:anchor>
        </w:drawing>
      </w:r>
      <w:r w:rsidRPr="1CE0D2B9">
        <w:rPr>
          <w:rFonts w:ascii="Aptos" w:eastAsia="Aptos" w:hAnsi="Aptos" w:cs="Aptos"/>
        </w:rPr>
        <w:t>COMMUNIQUÉ DE PRESSE</w:t>
      </w:r>
      <w:r w:rsidR="00000000">
        <w:br/>
      </w:r>
      <w:r w:rsidRPr="1CE0D2B9">
        <w:rPr>
          <w:rFonts w:ascii="Aptos" w:eastAsia="Aptos" w:hAnsi="Aptos" w:cs="Aptos"/>
        </w:rPr>
        <w:t>Pour diffusion immédiate</w:t>
      </w:r>
    </w:p>
    <w:p w14:paraId="60492879" w14:textId="3B181AE2" w:rsidR="00A2421A" w:rsidRDefault="4C155478" w:rsidP="3C53A268">
      <w:pPr>
        <w:spacing w:before="240" w:after="240"/>
        <w:jc w:val="center"/>
        <w:rPr>
          <w:rFonts w:ascii="Aptos" w:eastAsia="Aptos" w:hAnsi="Aptos" w:cs="Aptos"/>
          <w:b/>
          <w:bCs/>
          <w:sz w:val="32"/>
          <w:szCs w:val="32"/>
        </w:rPr>
      </w:pPr>
      <w:r w:rsidRPr="3C53A268">
        <w:rPr>
          <w:rFonts w:ascii="Aptos" w:eastAsia="Aptos" w:hAnsi="Aptos" w:cs="Aptos"/>
          <w:b/>
          <w:bCs/>
          <w:sz w:val="32"/>
          <w:szCs w:val="32"/>
        </w:rPr>
        <w:t xml:space="preserve">Assermentation </w:t>
      </w:r>
      <w:r w:rsidR="384FE3F6" w:rsidRPr="3C53A268">
        <w:rPr>
          <w:rFonts w:ascii="Aptos" w:eastAsia="Aptos" w:hAnsi="Aptos" w:cs="Aptos"/>
          <w:b/>
          <w:bCs/>
          <w:sz w:val="32"/>
          <w:szCs w:val="32"/>
        </w:rPr>
        <w:t xml:space="preserve">du </w:t>
      </w:r>
      <w:r w:rsidR="6F4B3C4E" w:rsidRPr="3C53A268">
        <w:rPr>
          <w:rFonts w:ascii="Aptos" w:eastAsia="Aptos" w:hAnsi="Aptos" w:cs="Aptos"/>
          <w:b/>
          <w:bCs/>
          <w:sz w:val="32"/>
          <w:szCs w:val="32"/>
        </w:rPr>
        <w:t>C</w:t>
      </w:r>
      <w:r w:rsidR="384FE3F6" w:rsidRPr="3C53A268">
        <w:rPr>
          <w:rFonts w:ascii="Aptos" w:eastAsia="Aptos" w:hAnsi="Aptos" w:cs="Aptos"/>
          <w:b/>
          <w:bCs/>
          <w:sz w:val="32"/>
          <w:szCs w:val="32"/>
        </w:rPr>
        <w:t>onseil des ministres</w:t>
      </w:r>
      <w:r w:rsidR="031EBE49" w:rsidRPr="3C53A268">
        <w:rPr>
          <w:rFonts w:ascii="Aptos" w:eastAsia="Aptos" w:hAnsi="Aptos" w:cs="Aptos"/>
          <w:b/>
          <w:bCs/>
          <w:sz w:val="32"/>
          <w:szCs w:val="32"/>
        </w:rPr>
        <w:t xml:space="preserve"> : </w:t>
      </w:r>
      <w:r w:rsidR="5E10BA23" w:rsidRPr="3C53A268">
        <w:rPr>
          <w:rFonts w:ascii="Aptos" w:eastAsia="Aptos" w:hAnsi="Aptos" w:cs="Aptos"/>
          <w:b/>
          <w:bCs/>
          <w:sz w:val="32"/>
          <w:szCs w:val="32"/>
        </w:rPr>
        <w:t>l'industrie touristique veut</w:t>
      </w:r>
      <w:r w:rsidR="031EBE49" w:rsidRPr="3C53A268">
        <w:rPr>
          <w:rFonts w:ascii="Aptos" w:eastAsia="Aptos" w:hAnsi="Aptos" w:cs="Aptos"/>
          <w:b/>
          <w:bCs/>
          <w:sz w:val="32"/>
          <w:szCs w:val="32"/>
        </w:rPr>
        <w:t xml:space="preserve"> des réponses</w:t>
      </w:r>
    </w:p>
    <w:p w14:paraId="53688BD1" w14:textId="0CE53A73" w:rsidR="00A2421A" w:rsidRDefault="7AACCC6A" w:rsidP="3C53A268">
      <w:pPr>
        <w:spacing w:before="240" w:after="240"/>
        <w:jc w:val="both"/>
      </w:pPr>
      <w:r w:rsidRPr="3C53A268">
        <w:rPr>
          <w:rFonts w:ascii="Aptos" w:eastAsia="Aptos" w:hAnsi="Aptos" w:cs="Aptos"/>
          <w:b/>
          <w:bCs/>
        </w:rPr>
        <w:t>Sherbrooke</w:t>
      </w:r>
      <w:r w:rsidR="031EBE49" w:rsidRPr="3C53A268">
        <w:rPr>
          <w:rFonts w:ascii="Aptos" w:eastAsia="Aptos" w:hAnsi="Aptos" w:cs="Aptos"/>
          <w:b/>
          <w:bCs/>
        </w:rPr>
        <w:t>, le 22 octobre 2026</w:t>
      </w:r>
      <w:r w:rsidR="2705D517" w:rsidRPr="3C53A268">
        <w:rPr>
          <w:rFonts w:ascii="Aptos" w:eastAsia="Aptos" w:hAnsi="Aptos" w:cs="Aptos"/>
          <w:b/>
          <w:bCs/>
        </w:rPr>
        <w:t xml:space="preserve"> -</w:t>
      </w:r>
      <w:r w:rsidR="031EBE49" w:rsidRPr="3C53A268">
        <w:rPr>
          <w:rFonts w:ascii="Aptos" w:eastAsia="Aptos" w:hAnsi="Aptos" w:cs="Aptos"/>
        </w:rPr>
        <w:t xml:space="preserve"> </w:t>
      </w:r>
      <w:r w:rsidR="1CA24A34" w:rsidRPr="3C53A268">
        <w:rPr>
          <w:rFonts w:ascii="Aptos" w:eastAsia="Aptos" w:hAnsi="Aptos" w:cs="Aptos"/>
        </w:rPr>
        <w:t>Tourisme Cantons-de-l’Est (TCE) réagit avec surprise et inquiétude à l’absence d’un ministre du Tourisme au sein du nouveau Conseil des ministres du Québec. Ce changement majeur soulève de nombreuses questions et crée de l’incertitude pour les entreprises touristiques, qui souhaitent être rassurées rapidement quant à la place qui leur sera accordée dans les priorités gouvernementales.</w:t>
      </w:r>
    </w:p>
    <w:p w14:paraId="6D836F9F" w14:textId="2D613519" w:rsidR="1CA24A34" w:rsidRDefault="1CA24A34" w:rsidP="3C53A268">
      <w:pPr>
        <w:spacing w:before="240" w:after="240"/>
        <w:jc w:val="both"/>
        <w:rPr>
          <w:rFonts w:ascii="Aptos" w:eastAsia="Aptos" w:hAnsi="Aptos" w:cs="Aptos"/>
        </w:rPr>
      </w:pPr>
      <w:r w:rsidRPr="3C53A268">
        <w:rPr>
          <w:rFonts w:ascii="Aptos" w:eastAsia="Aptos" w:hAnsi="Aptos" w:cs="Aptos"/>
        </w:rPr>
        <w:t>TCE joint sa voix à celle de l’</w:t>
      </w:r>
      <w:hyperlink r:id="rId10">
        <w:r w:rsidRPr="3C53A268">
          <w:rPr>
            <w:rStyle w:val="Lienhypertexte"/>
          </w:rPr>
          <w:t>Alliance de l’industrie touristique du Québec</w:t>
        </w:r>
      </w:hyperlink>
      <w:r w:rsidR="4EECE56F" w:rsidRPr="3C53A268">
        <w:rPr>
          <w:rFonts w:ascii="Segoe UI" w:eastAsia="Segoe UI" w:hAnsi="Segoe UI" w:cs="Segoe UI"/>
          <w:color w:val="242424"/>
          <w:sz w:val="21"/>
          <w:szCs w:val="21"/>
        </w:rPr>
        <w:t xml:space="preserve"> </w:t>
      </w:r>
      <w:r w:rsidR="4EECE56F" w:rsidRPr="3C53A268">
        <w:rPr>
          <w:rFonts w:eastAsiaTheme="minorEastAsia"/>
        </w:rPr>
        <w:t xml:space="preserve">pour demander au gouvernement de préciser rapidement la gouvernance du portefeuille touristique. </w:t>
      </w:r>
      <w:r w:rsidR="4EECE56F" w:rsidRPr="3C53A268">
        <w:rPr>
          <w:rFonts w:eastAsiaTheme="minorEastAsia"/>
          <w:b/>
          <w:bCs/>
        </w:rPr>
        <w:t>L’association prend acte de la nomination de Mme Juliette Champagne à titre de sous-ministre associée responsable du Tourisme.</w:t>
      </w:r>
      <w:r w:rsidR="4EECE56F" w:rsidRPr="3C53A268">
        <w:rPr>
          <w:rFonts w:eastAsiaTheme="minorEastAsia"/>
        </w:rPr>
        <w:t xml:space="preserve"> Elle souhaite toutefois obtenir des précisions sur le leadership politique qui défendra les intérêts de l’industrie au Conseil des ministres, la continuité des programmes et des investissements, ainsi que la place réservée aux régions dans les décisions gouvernementales.</w:t>
      </w:r>
    </w:p>
    <w:p w14:paraId="015FE743" w14:textId="6F7213DC" w:rsidR="08AE42CF" w:rsidRDefault="08AE42CF" w:rsidP="3C53A268">
      <w:pPr>
        <w:spacing w:before="240" w:after="240"/>
        <w:jc w:val="both"/>
        <w:rPr>
          <w:rFonts w:eastAsiaTheme="minorEastAsia"/>
        </w:rPr>
      </w:pPr>
      <w:r w:rsidRPr="3C53A268">
        <w:rPr>
          <w:rFonts w:eastAsiaTheme="minorEastAsia"/>
        </w:rPr>
        <w:t>« Bien que ce soit un choc</w:t>
      </w:r>
      <w:r w:rsidR="34D0CA5E" w:rsidRPr="3C53A268">
        <w:rPr>
          <w:rFonts w:eastAsiaTheme="minorEastAsia"/>
        </w:rPr>
        <w:t xml:space="preserve"> pour notre industrie</w:t>
      </w:r>
      <w:r w:rsidRPr="3C53A268">
        <w:rPr>
          <w:rFonts w:eastAsiaTheme="minorEastAsia"/>
        </w:rPr>
        <w:t>, nous reconnaissons que le rattachement du tourisme au ministère du Développement économique, de l’Innovation et de l’Énergie pourrait offrir de nouvelles occasions</w:t>
      </w:r>
      <w:r w:rsidR="2041E3BF" w:rsidRPr="3C53A268">
        <w:rPr>
          <w:rFonts w:eastAsiaTheme="minorEastAsia"/>
        </w:rPr>
        <w:t>.</w:t>
      </w:r>
      <w:r w:rsidRPr="3C53A268">
        <w:rPr>
          <w:rFonts w:eastAsiaTheme="minorEastAsia"/>
        </w:rPr>
        <w:t xml:space="preserve"> Nous souhaitons travailler étroitement avec </w:t>
      </w:r>
      <w:r w:rsidR="70DE1FC4" w:rsidRPr="3C53A268">
        <w:rPr>
          <w:rFonts w:eastAsiaTheme="minorEastAsia"/>
        </w:rPr>
        <w:t xml:space="preserve">le ministre </w:t>
      </w:r>
      <w:r w:rsidRPr="3C53A268">
        <w:rPr>
          <w:rFonts w:eastAsiaTheme="minorEastAsia"/>
        </w:rPr>
        <w:t xml:space="preserve">Stéphane Paquet et </w:t>
      </w:r>
      <w:r w:rsidR="4656CFAF" w:rsidRPr="3C53A268">
        <w:rPr>
          <w:rFonts w:eastAsiaTheme="minorEastAsia"/>
        </w:rPr>
        <w:t>la sous-ministre</w:t>
      </w:r>
      <w:r w:rsidR="41624FFA" w:rsidRPr="3C53A268">
        <w:rPr>
          <w:rFonts w:eastAsiaTheme="minorEastAsia"/>
        </w:rPr>
        <w:t xml:space="preserve"> associée</w:t>
      </w:r>
      <w:r w:rsidRPr="3C53A268">
        <w:rPr>
          <w:rFonts w:eastAsiaTheme="minorEastAsia"/>
        </w:rPr>
        <w:t xml:space="preserve"> Juliette Champagne pour assurer une transition réussie. </w:t>
      </w:r>
      <w:r w:rsidR="6243712A" w:rsidRPr="3C53A268">
        <w:rPr>
          <w:rFonts w:eastAsiaTheme="minorEastAsia"/>
        </w:rPr>
        <w:t>Mais nous avons besoin de savoir rapidement</w:t>
      </w:r>
      <w:r w:rsidRPr="3C53A268">
        <w:rPr>
          <w:rFonts w:eastAsiaTheme="minorEastAsia"/>
        </w:rPr>
        <w:t xml:space="preserve"> comment les intérêts du tourisme seront représentés au Conseil des ministres », souligne Isabelle Charlebois, directrice générale de Tourisme Cantons-de-l’Est.</w:t>
      </w:r>
    </w:p>
    <w:p w14:paraId="393810FD" w14:textId="683E04B1" w:rsidR="511810AD" w:rsidRDefault="511810AD" w:rsidP="3C53A268">
      <w:pPr>
        <w:pStyle w:val="Titre3"/>
        <w:rPr>
          <w:b/>
          <w:bCs/>
          <w:color w:val="auto"/>
        </w:rPr>
      </w:pPr>
      <w:r w:rsidRPr="3C53A268">
        <w:rPr>
          <w:b/>
          <w:bCs/>
          <w:color w:val="auto"/>
        </w:rPr>
        <w:t>Une industrie qui doit conserver une voix forte</w:t>
      </w:r>
    </w:p>
    <w:p w14:paraId="645DDD66" w14:textId="62CB8FCD" w:rsidR="7A478413" w:rsidRDefault="7A478413" w:rsidP="3C53A268">
      <w:pPr>
        <w:spacing w:before="240" w:after="240"/>
        <w:jc w:val="both"/>
      </w:pPr>
      <w:r w:rsidRPr="3C53A268">
        <w:rPr>
          <w:rFonts w:ascii="Aptos" w:eastAsia="Aptos" w:hAnsi="Aptos" w:cs="Aptos"/>
        </w:rPr>
        <w:t xml:space="preserve">Dans cette nouvelle structure, TCE souhaite s’assurer que les réalités et les besoins particuliers des entreprises touristiques ne seront pas relégués au second plan parmi les nombreuses responsabilités du ministère. </w:t>
      </w:r>
      <w:r w:rsidRPr="3C53A268">
        <w:rPr>
          <w:rFonts w:ascii="Aptos" w:eastAsia="Aptos" w:hAnsi="Aptos" w:cs="Aptos"/>
          <w:b/>
          <w:bCs/>
        </w:rPr>
        <w:t xml:space="preserve">L’industrie doit conserver une voix forte et des mécanismes de soutien adaptés à ses réalités. </w:t>
      </w:r>
    </w:p>
    <w:p w14:paraId="42DDFBB8" w14:textId="3BB34038" w:rsidR="45C9528D" w:rsidRDefault="45C9528D" w:rsidP="3C53A268">
      <w:pPr>
        <w:spacing w:before="240" w:after="240"/>
        <w:jc w:val="both"/>
      </w:pPr>
      <w:r w:rsidRPr="3C53A268">
        <w:rPr>
          <w:rFonts w:ascii="Aptos" w:eastAsia="Aptos" w:hAnsi="Aptos" w:cs="Aptos"/>
        </w:rPr>
        <w:t>Les entreprises touristiques doivent pouvoir compter sur des programmes adaptés pour investir, moderniser leurs installations, recruter de la main-d’œuvre et poursuivre leur développement. Bien qu’aucune réduction des programmes ou des budgets n’ait été annoncée, l’incertitude entourant la nouvelle structure soulève des questions quant au soutien qui sera accordé à l’industrie.</w:t>
      </w:r>
    </w:p>
    <w:p w14:paraId="14F1257F" w14:textId="2E64033F" w:rsidR="2EA8FCCE" w:rsidRDefault="2EA8FCCE" w:rsidP="3C53A268">
      <w:pPr>
        <w:spacing w:before="240" w:after="240"/>
        <w:jc w:val="both"/>
      </w:pPr>
      <w:r w:rsidRPr="3C53A268">
        <w:rPr>
          <w:rFonts w:ascii="Aptos" w:eastAsia="Aptos" w:hAnsi="Aptos" w:cs="Aptos"/>
        </w:rPr>
        <w:lastRenderedPageBreak/>
        <w:t xml:space="preserve">Dans les Cantons-de-l’Est, le tourisme représente </w:t>
      </w:r>
      <w:r w:rsidRPr="3C53A268">
        <w:rPr>
          <w:rFonts w:ascii="Aptos" w:eastAsia="Aptos" w:hAnsi="Aptos" w:cs="Aptos"/>
          <w:b/>
          <w:bCs/>
        </w:rPr>
        <w:t>plus de 1 350 entreprises et près de 20 000 emplois</w:t>
      </w:r>
      <w:r w:rsidRPr="3C53A268">
        <w:rPr>
          <w:rFonts w:ascii="Aptos" w:eastAsia="Aptos" w:hAnsi="Aptos" w:cs="Aptos"/>
        </w:rPr>
        <w:t xml:space="preserve">. Véritable moteur de développement économique et social, l’industrie génère </w:t>
      </w:r>
      <w:r w:rsidRPr="3C53A268">
        <w:rPr>
          <w:rFonts w:ascii="Aptos" w:eastAsia="Aptos" w:hAnsi="Aptos" w:cs="Aptos"/>
          <w:b/>
          <w:bCs/>
        </w:rPr>
        <w:t>1,3 G$ en dépenses touristiques annuelles</w:t>
      </w:r>
      <w:r w:rsidRPr="3C53A268">
        <w:rPr>
          <w:rFonts w:ascii="Aptos" w:eastAsia="Aptos" w:hAnsi="Aptos" w:cs="Aptos"/>
        </w:rPr>
        <w:t>, toutes provenances confondues. Une partie de ces dépenses est attribuable aux visiteurs de l’extérieur du Québec, qui apportent de nouveaux revenus dans l’économie régionale.</w:t>
      </w:r>
    </w:p>
    <w:p w14:paraId="530E1F0F" w14:textId="1CFF7520" w:rsidR="580D3D6C" w:rsidRDefault="580D3D6C" w:rsidP="3C53A268">
      <w:pPr>
        <w:spacing w:before="240" w:after="240"/>
        <w:jc w:val="both"/>
        <w:rPr>
          <w:rFonts w:ascii="Aptos" w:eastAsia="Aptos" w:hAnsi="Aptos" w:cs="Aptos"/>
        </w:rPr>
      </w:pPr>
      <w:r w:rsidRPr="3C53A268">
        <w:rPr>
          <w:rFonts w:eastAsiaTheme="minorEastAsia"/>
        </w:rPr>
        <w:t xml:space="preserve">Mais la contribution du tourisme va bien au-delà des retombées économiques. Il joue un rôle essentiel dans la vitalité et l’identité de nos régions, en faisant rayonner leur culture, leur patrimoine, leurs paysages et leurs savoir-faire. Il contribue également à la qualité de vie des citoyens et à l’attractivité des municipalités en soutenant les commerces, les activités culturelles, les sports et </w:t>
      </w:r>
      <w:r w:rsidR="09E24B27" w:rsidRPr="3C53A268">
        <w:rPr>
          <w:rFonts w:eastAsiaTheme="minorEastAsia"/>
        </w:rPr>
        <w:t xml:space="preserve">les </w:t>
      </w:r>
      <w:r w:rsidRPr="3C53A268">
        <w:rPr>
          <w:rFonts w:eastAsiaTheme="minorEastAsia"/>
        </w:rPr>
        <w:t>loisirs ainsi que les infrastructures de plein air qui profitent autant aux résidents qu’aux visiteurs.</w:t>
      </w:r>
    </w:p>
    <w:p w14:paraId="75F882FB" w14:textId="4E02E91E" w:rsidR="45C9528D" w:rsidRDefault="45C9528D" w:rsidP="3C53A268">
      <w:pPr>
        <w:spacing w:before="240" w:after="240"/>
        <w:jc w:val="both"/>
      </w:pPr>
      <w:r w:rsidRPr="3C53A268">
        <w:rPr>
          <w:rFonts w:ascii="Aptos" w:eastAsia="Aptos" w:hAnsi="Aptos" w:cs="Aptos"/>
        </w:rPr>
        <w:t xml:space="preserve">Cette industrie touche également de nombreux champs d’action gouvernementaux, dont les transports, la main-d’œuvre, </w:t>
      </w:r>
      <w:r w:rsidR="279FFD80" w:rsidRPr="3C53A268">
        <w:rPr>
          <w:rFonts w:ascii="Aptos" w:eastAsia="Aptos" w:hAnsi="Aptos" w:cs="Aptos"/>
        </w:rPr>
        <w:t xml:space="preserve">l'environnement, </w:t>
      </w:r>
      <w:r w:rsidRPr="3C53A268">
        <w:rPr>
          <w:rFonts w:ascii="Aptos" w:eastAsia="Aptos" w:hAnsi="Aptos" w:cs="Aptos"/>
        </w:rPr>
        <w:t>l’immigration, la culture et les affaires municipales. Son caractère transversal exige un leadership politique clair, une coordination efficace entre les ministères et une voix forte pour défendre les priorités de l’industrie et des régions.</w:t>
      </w:r>
    </w:p>
    <w:p w14:paraId="7ACF288D" w14:textId="46325E2E" w:rsidR="0BA3EFDE" w:rsidRDefault="0BA3EFDE" w:rsidP="3C53A268">
      <w:pPr>
        <w:spacing w:before="240" w:after="240"/>
        <w:jc w:val="both"/>
        <w:rPr>
          <w:rFonts w:ascii="Aptos" w:eastAsia="Aptos" w:hAnsi="Aptos" w:cs="Aptos"/>
        </w:rPr>
      </w:pPr>
      <w:r w:rsidRPr="3C53A268">
        <w:rPr>
          <w:rFonts w:eastAsiaTheme="minorEastAsia"/>
        </w:rPr>
        <w:t xml:space="preserve">« </w:t>
      </w:r>
      <w:r w:rsidR="13B98DDE" w:rsidRPr="3C53A268">
        <w:rPr>
          <w:rFonts w:eastAsiaTheme="minorEastAsia"/>
        </w:rPr>
        <w:t>Nous sommes prêts à travailler avec le nouveau gouvernement et à aborder cette transition avec ouverture, mais aussi avec vigilance. Nos entreprises ont besoin de stabilité et de prévisibilité pour continuer d’investir et de se développer. Nous souhaitons maintenant obtenir des engagements clairs sur la place qu’occupera le tourisme dans les priorités gouvernementales et sur les moyens qui lui seront consacrés</w:t>
      </w:r>
      <w:r w:rsidR="0D9596B3" w:rsidRPr="3C53A268">
        <w:rPr>
          <w:rFonts w:eastAsiaTheme="minorEastAsia"/>
        </w:rPr>
        <w:t xml:space="preserve"> </w:t>
      </w:r>
      <w:r w:rsidRPr="3C53A268">
        <w:rPr>
          <w:rFonts w:eastAsiaTheme="minorEastAsia"/>
        </w:rPr>
        <w:t>», conclut Isabelle Charlebois.</w:t>
      </w:r>
    </w:p>
    <w:p w14:paraId="0D9F7321" w14:textId="77777777" w:rsidR="00982027" w:rsidRDefault="7C528EFC" w:rsidP="3C53A268">
      <w:pPr>
        <w:spacing w:before="240" w:after="240"/>
        <w:jc w:val="both"/>
        <w:rPr>
          <w:rFonts w:ascii="Aptos" w:eastAsia="Aptos" w:hAnsi="Aptos" w:cs="Aptos"/>
          <w:b/>
          <w:bCs/>
          <w:sz w:val="22"/>
          <w:szCs w:val="22"/>
        </w:rPr>
      </w:pPr>
      <w:r w:rsidRPr="3C53A268">
        <w:rPr>
          <w:rFonts w:ascii="Aptos" w:eastAsia="Aptos" w:hAnsi="Aptos" w:cs="Aptos"/>
          <w:b/>
          <w:bCs/>
          <w:sz w:val="22"/>
          <w:szCs w:val="22"/>
        </w:rPr>
        <w:t xml:space="preserve">À propos de Tourisme </w:t>
      </w:r>
      <w:proofErr w:type="spellStart"/>
      <w:r w:rsidRPr="3C53A268">
        <w:rPr>
          <w:rFonts w:ascii="Aptos" w:eastAsia="Aptos" w:hAnsi="Aptos" w:cs="Aptos"/>
          <w:b/>
          <w:bCs/>
          <w:sz w:val="22"/>
          <w:szCs w:val="22"/>
        </w:rPr>
        <w:t>Cantons-de-l’Est</w:t>
      </w:r>
      <w:proofErr w:type="spellEnd"/>
    </w:p>
    <w:p w14:paraId="2A5110E8" w14:textId="39106233" w:rsidR="00A2421A" w:rsidRPr="00982027" w:rsidRDefault="7C528EFC" w:rsidP="3C53A268">
      <w:pPr>
        <w:spacing w:before="240" w:after="240"/>
        <w:jc w:val="both"/>
        <w:rPr>
          <w:rFonts w:ascii="Aptos" w:eastAsia="Aptos" w:hAnsi="Aptos" w:cs="Aptos"/>
          <w:b/>
          <w:bCs/>
          <w:sz w:val="22"/>
          <w:szCs w:val="22"/>
        </w:rPr>
      </w:pPr>
      <w:r w:rsidRPr="3C53A268">
        <w:rPr>
          <w:rFonts w:ascii="Aptos" w:eastAsia="Aptos" w:hAnsi="Aptos" w:cs="Aptos"/>
          <w:sz w:val="20"/>
          <w:szCs w:val="20"/>
        </w:rPr>
        <w:t>Tourisme </w:t>
      </w:r>
      <w:proofErr w:type="spellStart"/>
      <w:r w:rsidRPr="3C53A268">
        <w:rPr>
          <w:rFonts w:ascii="Aptos" w:eastAsia="Aptos" w:hAnsi="Aptos" w:cs="Aptos"/>
          <w:sz w:val="20"/>
          <w:szCs w:val="20"/>
        </w:rPr>
        <w:t>Cantons-de-l’Est</w:t>
      </w:r>
      <w:proofErr w:type="spellEnd"/>
      <w:r w:rsidRPr="3C53A268">
        <w:rPr>
          <w:rFonts w:ascii="Aptos" w:eastAsia="Aptos" w:hAnsi="Aptos" w:cs="Aptos"/>
          <w:sz w:val="20"/>
          <w:szCs w:val="20"/>
        </w:rPr>
        <w:t> est l’une des 21 associations touristiques régionales (ATR) du Québec et la mandataire officielle du ministère du Tourisme dans la région. Depuis 1978, Tourisme Cantons-de-l’Est a pour mission de contribuer au développement et au rayonnement de l’industrie touristique des Cantons-de-l’Est dans une approche durable, au bénéfice des communautés et des visiteurs. L’ATR regroupe quelque 600 membres et plus de 900 offres répartis dans les 9 MRC et dans l’ensemble des secteurs de l’industrie touristique : hébergement, restauration, attraits, activités et événements.</w:t>
      </w:r>
    </w:p>
    <w:p w14:paraId="1BC64B92" w14:textId="7AF24197" w:rsidR="00A2421A" w:rsidRDefault="7C528EFC" w:rsidP="3C53A268">
      <w:pPr>
        <w:spacing w:before="240" w:after="240"/>
        <w:jc w:val="both"/>
        <w:rPr>
          <w:rFonts w:ascii="Aptos" w:eastAsia="Aptos" w:hAnsi="Aptos" w:cs="Aptos"/>
          <w:sz w:val="18"/>
          <w:szCs w:val="18"/>
        </w:rPr>
      </w:pPr>
      <w:r w:rsidRPr="3C53A268">
        <w:rPr>
          <w:rFonts w:ascii="Aptos" w:eastAsia="Aptos" w:hAnsi="Aptos" w:cs="Aptos"/>
          <w:sz w:val="20"/>
          <w:szCs w:val="20"/>
        </w:rPr>
        <w:t>Les Cantons-de-l’Est occupent le cinquième rang en termes de nuitées réalisées au Québec avec des volumes ayant atteint 10,7 millions de nuitées-personnes et des recettes touristiques de 1,3 G$ par année. Les secteurs associés au tourisme représentent environ un emploi sur 10 dans la région, correspondant à plus de 21 000 emplois.</w:t>
      </w:r>
    </w:p>
    <w:p w14:paraId="09EA3149" w14:textId="6F8332D8" w:rsidR="00A2421A" w:rsidRPr="00982027" w:rsidRDefault="7C528EFC" w:rsidP="1CE0D2B9">
      <w:pPr>
        <w:spacing w:before="240" w:after="240"/>
        <w:jc w:val="center"/>
        <w:rPr>
          <w:sz w:val="22"/>
          <w:szCs w:val="22"/>
        </w:rPr>
      </w:pPr>
      <w:r w:rsidRPr="00982027">
        <w:rPr>
          <w:rFonts w:ascii="Aptos" w:eastAsia="Aptos" w:hAnsi="Aptos" w:cs="Aptos"/>
          <w:sz w:val="22"/>
          <w:szCs w:val="22"/>
        </w:rPr>
        <w:t>- 30 -</w:t>
      </w:r>
    </w:p>
    <w:p w14:paraId="303A30D5" w14:textId="01A91C1F" w:rsidR="00A2421A" w:rsidRDefault="7C528EFC" w:rsidP="3C53A268">
      <w:pPr>
        <w:tabs>
          <w:tab w:val="left" w:pos="1134"/>
        </w:tabs>
        <w:spacing w:after="0"/>
        <w:rPr>
          <w:rFonts w:ascii="Aptos Display" w:eastAsia="Aptos Display" w:hAnsi="Aptos Display" w:cs="Aptos Display"/>
          <w:color w:val="000000" w:themeColor="text1"/>
          <w:sz w:val="20"/>
          <w:szCs w:val="20"/>
        </w:rPr>
      </w:pPr>
      <w:r w:rsidRPr="3C53A268">
        <w:rPr>
          <w:rFonts w:ascii="Aptos" w:eastAsia="Aptos" w:hAnsi="Aptos" w:cs="Aptos"/>
        </w:rPr>
        <w:t xml:space="preserve"> </w:t>
      </w:r>
      <w:r w:rsidR="2F61A5E2" w:rsidRPr="3C53A268">
        <w:rPr>
          <w:rFonts w:ascii="Aptos Display" w:eastAsia="Aptos Display" w:hAnsi="Aptos Display" w:cs="Aptos Display"/>
          <w:color w:val="000000" w:themeColor="text1"/>
          <w:sz w:val="20"/>
          <w:szCs w:val="20"/>
          <w:lang w:val="fr-CA"/>
        </w:rPr>
        <w:t>Source :</w:t>
      </w:r>
      <w:r w:rsidR="00000000">
        <w:tab/>
      </w:r>
      <w:r w:rsidR="00000000">
        <w:tab/>
      </w:r>
      <w:r w:rsidR="2F61A5E2" w:rsidRPr="3C53A268">
        <w:rPr>
          <w:rFonts w:ascii="Aptos Display" w:eastAsia="Aptos Display" w:hAnsi="Aptos Display" w:cs="Aptos Display"/>
          <w:b/>
          <w:bCs/>
          <w:color w:val="000000" w:themeColor="text1"/>
          <w:sz w:val="20"/>
          <w:szCs w:val="20"/>
          <w:lang w:val="fr-CA"/>
        </w:rPr>
        <w:t>Titouan Bussière</w:t>
      </w:r>
    </w:p>
    <w:p w14:paraId="52010227" w14:textId="299F8BFE" w:rsidR="00A2421A" w:rsidRDefault="2F61A5E2" w:rsidP="3C53A268">
      <w:pPr>
        <w:pStyle w:val="Sansinterligne"/>
        <w:tabs>
          <w:tab w:val="left" w:pos="1134"/>
        </w:tabs>
        <w:ind w:left="708" w:firstLine="708"/>
        <w:rPr>
          <w:rFonts w:ascii="Aptos Display" w:eastAsia="Aptos Display" w:hAnsi="Aptos Display" w:cs="Aptos Display"/>
          <w:color w:val="000000" w:themeColor="text1"/>
          <w:sz w:val="20"/>
          <w:szCs w:val="20"/>
        </w:rPr>
      </w:pPr>
      <w:r w:rsidRPr="3C53A268">
        <w:rPr>
          <w:rFonts w:ascii="Aptos Display" w:eastAsia="Aptos Display" w:hAnsi="Aptos Display" w:cs="Aptos Display"/>
          <w:color w:val="000000" w:themeColor="text1"/>
          <w:sz w:val="20"/>
          <w:szCs w:val="20"/>
          <w:lang w:val="fr-CA"/>
        </w:rPr>
        <w:t>Coordonnateur aux relations de presse</w:t>
      </w:r>
    </w:p>
    <w:p w14:paraId="3035FE67" w14:textId="5B9E84B1" w:rsidR="00A2421A" w:rsidRDefault="2F61A5E2" w:rsidP="3C53A268">
      <w:pPr>
        <w:pStyle w:val="Sansinterligne"/>
        <w:tabs>
          <w:tab w:val="left" w:pos="1134"/>
        </w:tabs>
        <w:ind w:left="708" w:firstLine="708"/>
        <w:rPr>
          <w:rFonts w:ascii="Aptos Display" w:eastAsia="Aptos Display" w:hAnsi="Aptos Display" w:cs="Aptos Display"/>
          <w:color w:val="000000" w:themeColor="text1"/>
          <w:sz w:val="20"/>
          <w:szCs w:val="20"/>
        </w:rPr>
      </w:pPr>
      <w:r w:rsidRPr="3C53A268">
        <w:rPr>
          <w:rFonts w:ascii="Aptos Display" w:eastAsia="Aptos Display" w:hAnsi="Aptos Display" w:cs="Aptos Display"/>
          <w:color w:val="000000" w:themeColor="text1"/>
          <w:sz w:val="20"/>
          <w:szCs w:val="20"/>
          <w:lang w:val="fr-CA"/>
        </w:rPr>
        <w:t xml:space="preserve">Tourisme Cantons-de-l’Est </w:t>
      </w:r>
    </w:p>
    <w:p w14:paraId="4B192B74" w14:textId="20893901" w:rsidR="00A2421A" w:rsidRDefault="2F61A5E2" w:rsidP="3C53A268">
      <w:pPr>
        <w:pStyle w:val="Sansinterligne"/>
        <w:tabs>
          <w:tab w:val="left" w:pos="1134"/>
        </w:tabs>
        <w:ind w:left="708" w:firstLine="708"/>
      </w:pPr>
      <w:r w:rsidRPr="3C53A268">
        <w:rPr>
          <w:rFonts w:ascii="Aptos Display" w:eastAsia="Aptos Display" w:hAnsi="Aptos Display" w:cs="Aptos Display"/>
          <w:color w:val="000000" w:themeColor="text1"/>
          <w:sz w:val="20"/>
          <w:szCs w:val="20"/>
          <w:lang w:val="fr-CA"/>
        </w:rPr>
        <w:t>Cellulaire : 819 238-9375</w:t>
      </w:r>
    </w:p>
    <w:p w14:paraId="3BFEFB25" w14:textId="5C754993" w:rsidR="00A2421A" w:rsidRDefault="2F61A5E2" w:rsidP="3C53A268">
      <w:pPr>
        <w:pStyle w:val="Sansinterligne"/>
        <w:tabs>
          <w:tab w:val="left" w:pos="1134"/>
        </w:tabs>
        <w:ind w:left="708" w:firstLine="708"/>
        <w:rPr>
          <w:rFonts w:ascii="Aptos Display" w:eastAsia="Aptos Display" w:hAnsi="Aptos Display" w:cs="Aptos Display"/>
          <w:color w:val="000000" w:themeColor="text1"/>
          <w:sz w:val="20"/>
          <w:szCs w:val="20"/>
        </w:rPr>
      </w:pPr>
      <w:r w:rsidRPr="3C53A268">
        <w:rPr>
          <w:rFonts w:ascii="Aptos Display" w:eastAsia="Aptos Display" w:hAnsi="Aptos Display" w:cs="Aptos Display"/>
          <w:color w:val="000000" w:themeColor="text1"/>
          <w:sz w:val="20"/>
          <w:szCs w:val="20"/>
          <w:lang w:val="fr-CA"/>
        </w:rPr>
        <w:t xml:space="preserve">Courriel : </w:t>
      </w:r>
      <w:hyperlink r:id="rId11">
        <w:r w:rsidRPr="3C53A268">
          <w:rPr>
            <w:rStyle w:val="Lienhypertexte"/>
            <w:sz w:val="20"/>
            <w:szCs w:val="20"/>
            <w:lang w:val="fr-CA"/>
          </w:rPr>
          <w:t>tbussiere@atrce.com</w:t>
        </w:r>
      </w:hyperlink>
    </w:p>
    <w:sectPr w:rsidR="00A2421A" w:rsidSect="00982027">
      <w:headerReference w:type="default" r:id="rId12"/>
      <w:footerReference w:type="default" r:id="rId13"/>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04E7D" w14:textId="77777777" w:rsidR="00CC6BAB" w:rsidRDefault="00CC6BAB">
      <w:pPr>
        <w:spacing w:after="0" w:line="240" w:lineRule="auto"/>
      </w:pPr>
      <w:r>
        <w:separator/>
      </w:r>
    </w:p>
  </w:endnote>
  <w:endnote w:type="continuationSeparator" w:id="0">
    <w:p w14:paraId="3A352755" w14:textId="77777777" w:rsidR="00CC6BAB" w:rsidRDefault="00CC6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CE0D2B9" w14:paraId="5F483907" w14:textId="77777777" w:rsidTr="1CE0D2B9">
      <w:trPr>
        <w:trHeight w:val="300"/>
      </w:trPr>
      <w:tc>
        <w:tcPr>
          <w:tcW w:w="3005" w:type="dxa"/>
        </w:tcPr>
        <w:p w14:paraId="69178ECF" w14:textId="0E4DA004" w:rsidR="1CE0D2B9" w:rsidRDefault="1CE0D2B9" w:rsidP="1CE0D2B9">
          <w:pPr>
            <w:pStyle w:val="En-tte"/>
            <w:ind w:left="-115"/>
          </w:pPr>
        </w:p>
      </w:tc>
      <w:tc>
        <w:tcPr>
          <w:tcW w:w="3005" w:type="dxa"/>
        </w:tcPr>
        <w:p w14:paraId="4CFF727C" w14:textId="0B5EF8B6" w:rsidR="1CE0D2B9" w:rsidRDefault="1CE0D2B9" w:rsidP="1CE0D2B9">
          <w:pPr>
            <w:pStyle w:val="En-tte"/>
            <w:jc w:val="center"/>
          </w:pPr>
        </w:p>
      </w:tc>
      <w:tc>
        <w:tcPr>
          <w:tcW w:w="3005" w:type="dxa"/>
        </w:tcPr>
        <w:p w14:paraId="2EDCD37A" w14:textId="7CECFD17" w:rsidR="1CE0D2B9" w:rsidRDefault="1CE0D2B9" w:rsidP="1CE0D2B9">
          <w:pPr>
            <w:pStyle w:val="En-tte"/>
            <w:ind w:right="-115"/>
            <w:jc w:val="right"/>
          </w:pPr>
        </w:p>
      </w:tc>
    </w:tr>
  </w:tbl>
  <w:p w14:paraId="27C6A531" w14:textId="4A409C34" w:rsidR="1CE0D2B9" w:rsidRDefault="1CE0D2B9" w:rsidP="1CE0D2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63476" w14:textId="77777777" w:rsidR="00CC6BAB" w:rsidRDefault="00CC6BAB">
      <w:pPr>
        <w:spacing w:after="0" w:line="240" w:lineRule="auto"/>
      </w:pPr>
      <w:r>
        <w:separator/>
      </w:r>
    </w:p>
  </w:footnote>
  <w:footnote w:type="continuationSeparator" w:id="0">
    <w:p w14:paraId="6043262F" w14:textId="77777777" w:rsidR="00CC6BAB" w:rsidRDefault="00CC6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CE0D2B9" w14:paraId="43A6A546" w14:textId="77777777" w:rsidTr="1CE0D2B9">
      <w:trPr>
        <w:trHeight w:val="300"/>
      </w:trPr>
      <w:tc>
        <w:tcPr>
          <w:tcW w:w="3005" w:type="dxa"/>
        </w:tcPr>
        <w:p w14:paraId="7616CEC0" w14:textId="1328FD12" w:rsidR="1CE0D2B9" w:rsidRDefault="1CE0D2B9" w:rsidP="1CE0D2B9">
          <w:pPr>
            <w:pStyle w:val="En-tte"/>
            <w:ind w:left="-115"/>
          </w:pPr>
        </w:p>
      </w:tc>
      <w:tc>
        <w:tcPr>
          <w:tcW w:w="3005" w:type="dxa"/>
        </w:tcPr>
        <w:p w14:paraId="6282FCDD" w14:textId="759C9175" w:rsidR="1CE0D2B9" w:rsidRDefault="1CE0D2B9" w:rsidP="1CE0D2B9">
          <w:pPr>
            <w:pStyle w:val="En-tte"/>
            <w:jc w:val="center"/>
          </w:pPr>
        </w:p>
      </w:tc>
      <w:tc>
        <w:tcPr>
          <w:tcW w:w="3005" w:type="dxa"/>
        </w:tcPr>
        <w:p w14:paraId="0F5C2BFF" w14:textId="09AE6685" w:rsidR="1CE0D2B9" w:rsidRDefault="1CE0D2B9" w:rsidP="1CE0D2B9">
          <w:pPr>
            <w:pStyle w:val="En-tte"/>
            <w:ind w:right="-115"/>
            <w:jc w:val="right"/>
          </w:pPr>
        </w:p>
      </w:tc>
    </w:tr>
  </w:tbl>
  <w:p w14:paraId="3217BA98" w14:textId="474E3238" w:rsidR="1CE0D2B9" w:rsidRDefault="1CE0D2B9" w:rsidP="1CE0D2B9">
    <w:pPr>
      <w:pStyle w:val="En-tt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76E9B0"/>
    <w:rsid w:val="0015A3F8"/>
    <w:rsid w:val="00982027"/>
    <w:rsid w:val="00A2421A"/>
    <w:rsid w:val="00C82277"/>
    <w:rsid w:val="00CC6BAB"/>
    <w:rsid w:val="031EBE49"/>
    <w:rsid w:val="037C4A1F"/>
    <w:rsid w:val="03DCCA66"/>
    <w:rsid w:val="04C9CA2C"/>
    <w:rsid w:val="05313AEA"/>
    <w:rsid w:val="06792607"/>
    <w:rsid w:val="06C00D2A"/>
    <w:rsid w:val="06DFF7BA"/>
    <w:rsid w:val="0776E9B0"/>
    <w:rsid w:val="07A550A8"/>
    <w:rsid w:val="082DA98D"/>
    <w:rsid w:val="08AE42CF"/>
    <w:rsid w:val="08E721A5"/>
    <w:rsid w:val="09E24B27"/>
    <w:rsid w:val="0A290552"/>
    <w:rsid w:val="0AB09128"/>
    <w:rsid w:val="0B8766AA"/>
    <w:rsid w:val="0BA3EFDE"/>
    <w:rsid w:val="0BB417A5"/>
    <w:rsid w:val="0BD63A63"/>
    <w:rsid w:val="0CB6CB3C"/>
    <w:rsid w:val="0CDAAC8E"/>
    <w:rsid w:val="0CE0B17E"/>
    <w:rsid w:val="0D677D67"/>
    <w:rsid w:val="0D9596B3"/>
    <w:rsid w:val="0DB2E639"/>
    <w:rsid w:val="0E1CA647"/>
    <w:rsid w:val="12AD7F33"/>
    <w:rsid w:val="133692F0"/>
    <w:rsid w:val="13B98DDE"/>
    <w:rsid w:val="14711E51"/>
    <w:rsid w:val="1684680D"/>
    <w:rsid w:val="168C8379"/>
    <w:rsid w:val="176C043B"/>
    <w:rsid w:val="17CEBDCA"/>
    <w:rsid w:val="184845EC"/>
    <w:rsid w:val="199CB9B8"/>
    <w:rsid w:val="1A51DA04"/>
    <w:rsid w:val="1A88FA90"/>
    <w:rsid w:val="1C89C85B"/>
    <w:rsid w:val="1CA24A34"/>
    <w:rsid w:val="1CE0D2B9"/>
    <w:rsid w:val="1D4C0442"/>
    <w:rsid w:val="2041E3BF"/>
    <w:rsid w:val="20ADF5B2"/>
    <w:rsid w:val="2121E9B6"/>
    <w:rsid w:val="2288BBCB"/>
    <w:rsid w:val="230564AB"/>
    <w:rsid w:val="24ADC2B4"/>
    <w:rsid w:val="2705D517"/>
    <w:rsid w:val="279FFD80"/>
    <w:rsid w:val="28FF634F"/>
    <w:rsid w:val="2B283709"/>
    <w:rsid w:val="2B72E0D5"/>
    <w:rsid w:val="2B98C080"/>
    <w:rsid w:val="2CC55E13"/>
    <w:rsid w:val="2DDBA9AD"/>
    <w:rsid w:val="2E8E59F5"/>
    <w:rsid w:val="2EA8FCCE"/>
    <w:rsid w:val="2F61A5E2"/>
    <w:rsid w:val="3141BBC2"/>
    <w:rsid w:val="33709AF1"/>
    <w:rsid w:val="33DEEF3A"/>
    <w:rsid w:val="34D0CA5E"/>
    <w:rsid w:val="3521F7E2"/>
    <w:rsid w:val="36F673C0"/>
    <w:rsid w:val="384FE3F6"/>
    <w:rsid w:val="39A168FF"/>
    <w:rsid w:val="3A0578E1"/>
    <w:rsid w:val="3B0963FE"/>
    <w:rsid w:val="3C53A268"/>
    <w:rsid w:val="3CD32370"/>
    <w:rsid w:val="41624FFA"/>
    <w:rsid w:val="41C6DE88"/>
    <w:rsid w:val="4487BD8B"/>
    <w:rsid w:val="45C9528D"/>
    <w:rsid w:val="4656CFAF"/>
    <w:rsid w:val="4776FD30"/>
    <w:rsid w:val="4799982B"/>
    <w:rsid w:val="499FF2CF"/>
    <w:rsid w:val="4AB1B947"/>
    <w:rsid w:val="4B86423E"/>
    <w:rsid w:val="4C155478"/>
    <w:rsid w:val="4C3091D2"/>
    <w:rsid w:val="4EECE56F"/>
    <w:rsid w:val="50151A1B"/>
    <w:rsid w:val="502920D0"/>
    <w:rsid w:val="51008C5F"/>
    <w:rsid w:val="511810AD"/>
    <w:rsid w:val="51AA4F5A"/>
    <w:rsid w:val="5213596C"/>
    <w:rsid w:val="53F73312"/>
    <w:rsid w:val="541F3B75"/>
    <w:rsid w:val="550CBE89"/>
    <w:rsid w:val="554CBE9C"/>
    <w:rsid w:val="57D664B9"/>
    <w:rsid w:val="580D3D6C"/>
    <w:rsid w:val="58C3D54E"/>
    <w:rsid w:val="59024B41"/>
    <w:rsid w:val="59223C90"/>
    <w:rsid w:val="592D90F8"/>
    <w:rsid w:val="593EE791"/>
    <w:rsid w:val="5B387F5A"/>
    <w:rsid w:val="5CDF0C37"/>
    <w:rsid w:val="5D0B8990"/>
    <w:rsid w:val="5DE36577"/>
    <w:rsid w:val="5E10BA23"/>
    <w:rsid w:val="604C9E68"/>
    <w:rsid w:val="61C5220F"/>
    <w:rsid w:val="623FFA7B"/>
    <w:rsid w:val="6243712A"/>
    <w:rsid w:val="62F0C85A"/>
    <w:rsid w:val="635133A3"/>
    <w:rsid w:val="639EDBFF"/>
    <w:rsid w:val="63C1F372"/>
    <w:rsid w:val="643D6A1B"/>
    <w:rsid w:val="65E9BD88"/>
    <w:rsid w:val="678812E8"/>
    <w:rsid w:val="67EFEEA1"/>
    <w:rsid w:val="694B47CA"/>
    <w:rsid w:val="6A375B1C"/>
    <w:rsid w:val="6B6C005E"/>
    <w:rsid w:val="6C8FD548"/>
    <w:rsid w:val="6C9EAB5B"/>
    <w:rsid w:val="6E6C9DAA"/>
    <w:rsid w:val="6E76C6F6"/>
    <w:rsid w:val="6F2C3CB9"/>
    <w:rsid w:val="6F4B3C4E"/>
    <w:rsid w:val="70DE1FC4"/>
    <w:rsid w:val="71261F03"/>
    <w:rsid w:val="71AF5E1F"/>
    <w:rsid w:val="7557CCE0"/>
    <w:rsid w:val="755BFD81"/>
    <w:rsid w:val="75917E5B"/>
    <w:rsid w:val="7744149E"/>
    <w:rsid w:val="779139E5"/>
    <w:rsid w:val="785552DE"/>
    <w:rsid w:val="791069F9"/>
    <w:rsid w:val="7A478413"/>
    <w:rsid w:val="7AACCC6A"/>
    <w:rsid w:val="7C069EA8"/>
    <w:rsid w:val="7C528EFC"/>
    <w:rsid w:val="7E9C1DEA"/>
    <w:rsid w:val="7FDA8A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A940"/>
  <w15:chartTrackingRefBased/>
  <w15:docId w15:val="{7DCD5584-EF60-4951-A9CA-146D47A3E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3B0963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uiPriority w:val="9"/>
    <w:unhideWhenUsed/>
    <w:qFormat/>
    <w:rsid w:val="3B0963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uiPriority w:val="9"/>
    <w:unhideWhenUsed/>
    <w:qFormat/>
    <w:rsid w:val="3C53A268"/>
    <w:pPr>
      <w:keepNext/>
      <w:keepLines/>
      <w:spacing w:before="160" w:after="80"/>
      <w:outlineLvl w:val="2"/>
    </w:pPr>
    <w:rPr>
      <w:rFonts w:eastAsiaTheme="majorEastAsia" w:cstheme="majorBidi"/>
      <w:color w:val="0F476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1CE0D2B9"/>
    <w:rPr>
      <w:color w:val="467886"/>
      <w:u w:val="single"/>
    </w:rPr>
  </w:style>
  <w:style w:type="paragraph" w:styleId="En-tte">
    <w:name w:val="header"/>
    <w:basedOn w:val="Normal"/>
    <w:uiPriority w:val="99"/>
    <w:unhideWhenUsed/>
    <w:rsid w:val="1CE0D2B9"/>
    <w:pPr>
      <w:tabs>
        <w:tab w:val="center" w:pos="4680"/>
        <w:tab w:val="right" w:pos="9360"/>
      </w:tabs>
      <w:spacing w:after="0" w:line="240" w:lineRule="auto"/>
    </w:pPr>
  </w:style>
  <w:style w:type="paragraph" w:styleId="Pieddepage">
    <w:name w:val="footer"/>
    <w:basedOn w:val="Normal"/>
    <w:uiPriority w:val="99"/>
    <w:unhideWhenUsed/>
    <w:rsid w:val="1CE0D2B9"/>
    <w:pPr>
      <w:tabs>
        <w:tab w:val="center" w:pos="4680"/>
        <w:tab w:val="right" w:pos="9360"/>
      </w:tabs>
      <w:spacing w:after="0" w:line="240" w:lineRule="auto"/>
    </w:p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ansinterligne">
    <w:name w:val="No Spacing"/>
    <w:uiPriority w:val="1"/>
    <w:qFormat/>
    <w:rsid w:val="3C53A268"/>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bussiere@atrce.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alliancetouristique.com/salle-presse/assermentation-du-conseil-des-ministr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4AA56993BC554FB0BA68A529DEF8F4" ma:contentTypeVersion="17" ma:contentTypeDescription="Crée un document." ma:contentTypeScope="" ma:versionID="a3a36bc0d027b0ce89a2e7712b0a29c8">
  <xsd:schema xmlns:xsd="http://www.w3.org/2001/XMLSchema" xmlns:xs="http://www.w3.org/2001/XMLSchema" xmlns:p="http://schemas.microsoft.com/office/2006/metadata/properties" xmlns:ns2="18db3fef-12f6-40b2-ab88-cadeb7e959f8" xmlns:ns3="2a0cb237-a34d-4d7e-accf-0a9139914557" targetNamespace="http://schemas.microsoft.com/office/2006/metadata/properties" ma:root="true" ma:fieldsID="42031ff73ddcec6d882a9fe3ead2726f" ns2:_="" ns3:_="">
    <xsd:import namespace="18db3fef-12f6-40b2-ab88-cadeb7e959f8"/>
    <xsd:import namespace="2a0cb237-a34d-4d7e-accf-0a9139914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b3fef-12f6-40b2-ab88-cadeb7e95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3dbd193-d66a-4053-876e-2a06856ae9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0cb237-a34d-4d7e-accf-0a91399145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083f08-52b6-4245-9f18-b78cb9fe6827}" ma:internalName="TaxCatchAll" ma:showField="CatchAllData" ma:web="2a0cb237-a34d-4d7e-accf-0a9139914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0cb237-a34d-4d7e-accf-0a9139914557" xsi:nil="true"/>
    <lcf76f155ced4ddcb4097134ff3c332f xmlns="18db3fef-12f6-40b2-ab88-cadeb7e959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46C182-BF5C-4A1F-AE7F-CA0A904FE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b3fef-12f6-40b2-ab88-cadeb7e959f8"/>
    <ds:schemaRef ds:uri="2a0cb237-a34d-4d7e-accf-0a9139914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2A0B88-F9F0-4EA2-8437-F494D0B37B45}">
  <ds:schemaRefs>
    <ds:schemaRef ds:uri="http://schemas.microsoft.com/office/2006/metadata/properties"/>
    <ds:schemaRef ds:uri="http://schemas.microsoft.com/office/infopath/2007/PartnerControls"/>
    <ds:schemaRef ds:uri="2a0cb237-a34d-4d7e-accf-0a9139914557"/>
    <ds:schemaRef ds:uri="18db3fef-12f6-40b2-ab88-cadeb7e959f8"/>
  </ds:schemaRefs>
</ds:datastoreItem>
</file>

<file path=customXml/itemProps3.xml><?xml version="1.0" encoding="utf-8"?>
<ds:datastoreItem xmlns:ds="http://schemas.openxmlformats.org/officeDocument/2006/customXml" ds:itemID="{292417DD-AE61-447A-97F5-85E5D3E044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836</Words>
  <Characters>4604</Characters>
  <Application>Microsoft Office Word</Application>
  <DocSecurity>0</DocSecurity>
  <Lines>38</Lines>
  <Paragraphs>10</Paragraphs>
  <ScaleCrop>false</ScaleCrop>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Titouan Bussière</dc:creator>
  <cp:keywords/>
  <dc:description/>
  <cp:lastModifiedBy>Titouan Bussière</cp:lastModifiedBy>
  <cp:revision>2</cp:revision>
  <dcterms:created xsi:type="dcterms:W3CDTF">2026-10-22T13:56:00Z</dcterms:created>
  <dcterms:modified xsi:type="dcterms:W3CDTF">2026-10-22T19:17:00Z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0x0101002E4AA56993BC554FB0BA68A529DEF8F4</vt:lpwstr>
  </property>
  <property fmtid="{D5CDD505-2E9C-101B-9397-08002B2CF9AE}" pid="3" name="MediaServiceImageTags">
    <vt:lpwstr/>
  </property>
</Properties>
</file>